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Thoughts from the Argument Writing Seminar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Form of argument depends on the purpose.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There is a specific design for a specific purpose.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Data drives decision making.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Don’t make assumptions.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Don’t stop digging deeper.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Research and argument affects the community.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There’s a diversity in approaches.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Be aware of bias.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Argument is all around us.</w:t>
      </w:r>
    </w:p>
    <w:p w:rsidP="00000000" w:rsidRPr="00000000" w:rsidR="00000000" w:rsidDel="00000000" w:rsidRDefault="00000000">
      <w:pPr>
        <w:numPr>
          <w:ilvl w:val="0"/>
          <w:numId w:val="1"/>
        </w:numPr>
        <w:spacing w:lineRule="auto" w:line="360"/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Argument writing is practical, useful, and a real life application of argument writing.</w:t>
      </w:r>
    </w:p>
    <w:p w:rsidP="00000000" w:rsidRPr="00000000" w:rsidR="00000000" w:rsidDel="00000000" w:rsidRDefault="00000000">
      <w:pPr>
        <w:spacing w:lineRule="auto" w:line="360"/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Argument Writing Seminar.docx</dc:title>
</cp:coreProperties>
</file>